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BC-title"/>
        <w:spacing w:before="0" w:after="0"/>
        <w:ind w:hanging="0" w:right="0"/>
        <w:jc w:val="left"/>
        <w:rPr>
          <w:sz w:val="36"/>
        </w:rPr>
      </w:pPr>
      <w:r>
        <w:rPr>
          <w:sz w:val="36"/>
        </w:rPr>
        <w:t>Capítulo</w:t>
      </w:r>
    </w:p>
    <w:p>
      <w:pPr>
        <w:pStyle w:val="SBC-title"/>
        <w:spacing w:before="0" w:after="0"/>
        <w:ind w:hanging="0" w:right="0"/>
        <w:jc w:val="left"/>
        <w:rPr>
          <w:sz w:val="96"/>
        </w:rPr>
      </w:pPr>
      <w:r>
        <w:rPr>
          <w:sz w:val="96"/>
        </w:rPr>
        <w:t>1</w:t>
      </w:r>
    </w:p>
    <w:p>
      <w:pPr>
        <w:pStyle w:val="SBC-title"/>
        <w:spacing w:before="0" w:after="0"/>
        <w:ind w:hanging="0" w:right="0"/>
        <w:jc w:val="left"/>
        <w:rPr>
          <w:sz w:val="24"/>
        </w:rPr>
      </w:pPr>
      <w:r>
        <w:rPr>
          <w:sz w:val="24"/>
        </w:rPr>
      </w:r>
    </w:p>
    <w:p>
      <w:pPr>
        <w:pStyle w:val="SBC-title"/>
        <w:ind w:hanging="0" w:right="0"/>
        <w:jc w:val="left"/>
        <w:rPr>
          <w:sz w:val="40"/>
        </w:rPr>
      </w:pPr>
      <w:r>
        <w:rPr>
          <w:sz w:val="40"/>
        </w:rPr>
        <w:t>Instruções para Autores de Capítulos de Livros da SBC</w:t>
      </w:r>
    </w:p>
    <w:p>
      <w:pPr>
        <w:pStyle w:val="SBC-author"/>
        <w:spacing w:before="720" w:after="0"/>
        <w:jc w:val="left"/>
        <w:rPr/>
      </w:pPr>
      <w:r>
        <w:rPr>
          <w:b w:val="false"/>
          <w:sz w:val="28"/>
        </w:rPr>
        <w:t>Luciana Porcher Nedel, Flávio Rech Wagner and Richard Leithold</w:t>
      </w:r>
    </w:p>
    <w:p>
      <w:pPr>
        <w:pStyle w:val="SBC-abstract"/>
        <w:tabs>
          <w:tab w:val="clear" w:pos="720"/>
        </w:tabs>
        <w:spacing w:before="1200" w:after="120"/>
        <w:ind w:left="0" w:right="0"/>
        <w:jc w:val="center"/>
        <w:rPr>
          <w:b/>
        </w:rPr>
      </w:pPr>
      <w:r>
        <w:rPr>
          <w:b/>
        </w:rPr>
        <w:t>Resumo</w:t>
      </w:r>
    </w:p>
    <w:p>
      <w:pPr>
        <w:pStyle w:val="SBC-abstract"/>
        <w:ind w:left="0" w:right="0"/>
        <w:rPr/>
      </w:pPr>
      <w:r>
        <w:rPr/>
        <w:t>Este meta-artigo descreve o estilo a ser utilizado em artigos e artigos curtos para conferências da SBC. Para artigos em inglês, deve-se incluir apenas um resumo em inglês (abstract); para artigos em português, também solicitamos um resumo em português. Em ambos os casos, os resumos não devem ultrapassar 10 linhas e devem estar na primeira página do artigo.</w:t>
      </w:r>
    </w:p>
    <w:p>
      <w:pPr>
        <w:pStyle w:val="SBC-abstract"/>
        <w:tabs>
          <w:tab w:val="clear" w:pos="720"/>
        </w:tabs>
        <w:ind w:left="0" w:right="0"/>
        <w:jc w:val="center"/>
        <w:rPr>
          <w:b/>
          <w:lang w:val="pt-BR"/>
        </w:rPr>
      </w:pPr>
      <w:r>
        <w:rPr>
          <w:b/>
          <w:lang w:val="pt-BR"/>
        </w:rPr>
        <w:t>Resumo</w:t>
      </w:r>
    </w:p>
    <w:p>
      <w:pPr>
        <w:pStyle w:val="SBC-abstract"/>
        <w:ind w:left="0" w:right="0"/>
        <w:rPr>
          <w:lang w:val="pt-BR"/>
        </w:rPr>
      </w:pPr>
      <w:r>
        <w:rPr>
          <w:lang w:val="pt-BR"/>
        </w:rPr>
        <w:t>Este meta-artigo descreve o estilo a ser usado na confecção de artigos e resumos de artigos para publicação nos anais das conferências organizadas pela SBC. É solicitada a escrita de resumo e abstract apenas para os artigos escritos em português. Artigos em inglês, deverão possuir apenas abstract. Nos dois casos, o autor deve tomar cuidado para que o resumo (e o abstract) não ultrapassem 10 linhas cada, sendo que ambos devem estar na primeira página do artigo.</w:t>
      </w:r>
    </w:p>
    <w:p>
      <w:pPr>
        <w:pStyle w:val="SBC-heading1"/>
        <w:rPr/>
      </w:pPr>
      <w:r>
        <w:rPr/>
        <w:t>1.1. Informações Gerais</w:t>
      </w:r>
    </w:p>
    <w:p>
      <w:pPr>
        <w:pStyle w:val="Normal"/>
        <w:rPr/>
      </w:pPr>
      <w:r>
        <w:rPr/>
        <w:t xml:space="preserve">Todos os artigos submetidos a uma conferência da SBC, incluindo quaisquer documentos complementares, devem ser escritos em inglês ou em português. O artigo deve estar no formato A4, em coluna única, com margem superior de 3,5 cm, margem inferior de 2,5 cm e margens laterais de 3,0 cm, sem cabeçalhos ou rodapés. A fonte principal deve ser Times, tamanho nominal de 12 pontos, com espaçamento de 6 pontos antes de cada parágrafo. A numeração das páginas deve ser suprimida na versão final. </w:t>
      </w:r>
    </w:p>
    <w:p>
      <w:pPr>
        <w:pStyle w:val="Normal"/>
        <w:rPr/>
      </w:pPr>
      <w:r>
        <w:rPr/>
        <w:tab/>
        <w:t>Artigos completos devem respeitar os limites de páginas definidos pela conferência. Conferências que publicam apenas resumos solicitam textos de uma página.</w:t>
      </w:r>
      <w:r>
        <w:rPr>
          <w:b/>
        </w:rPr>
      </w:r>
      <w:r>
        <w:rPr/>
      </w:r>
    </w:p>
    <w:p>
      <w:pPr>
        <w:pStyle w:val="SBC-heading1"/>
        <w:rPr/>
      </w:pPr>
      <w:r>
        <w:rPr/>
        <w:t>1.2. Primeira Página</w:t>
      </w:r>
    </w:p>
    <w:p>
      <w:pPr>
        <w:pStyle w:val="Normal"/>
        <w:rPr/>
      </w:pPr>
      <w:r>
        <w:rPr/>
        <w:t xml:space="preserve">A primeira página deve apresentar o título do artigo, o nome e o endereço dos autores, o resumo em inglês e o “resumo” em português (para artigos escritos em português). O título deve estar alinhado à esquerda, em fonte negrito de 20 pontos. Os nomes dos autores devem estar alinhados da mesma forma, conforme mostrado neste exemplo. </w:t>
      </w:r>
    </w:p>
    <w:p>
      <w:pPr>
        <w:pStyle w:val="SBC-heading1"/>
        <w:rPr/>
      </w:pPr>
      <w:r>
        <w:rPr/>
        <w:t>1.3. CD-ROMs e Anais Impressos</w:t>
      </w:r>
    </w:p>
    <w:p>
      <w:pPr>
        <w:pStyle w:val="Normal"/>
        <w:rPr/>
      </w:pPr>
      <w:r>
        <w:rPr/>
        <w:t xml:space="preserve">Em algumas conferências, os artigos são publicados em CD-ROM, enquanto apenas o resumo é publicado nos Anais. Nesse caso, os autores são convidados a preparar duas versões finais do artigo. Uma versão completa, a ser publicada no CD, e outra contendo apenas a primeira página, com o resumo em inglês e o “resumo” em português (para artigos escritos em português).  </w:t>
      </w:r>
    </w:p>
    <w:p>
      <w:pPr>
        <w:pStyle w:val="SBC-heading1"/>
        <w:rPr/>
      </w:pPr>
      <w:r>
        <w:rPr/>
        <w:t>1.4. Seções e Parágrafos</w:t>
      </w:r>
    </w:p>
    <w:p>
      <w:pPr>
        <w:pStyle w:val="Normal"/>
        <w:rPr/>
      </w:pPr>
      <w:r>
        <w:rPr/>
        <w:t xml:space="preserve">Os títulos das seções devem estar em negrito, tamanho 13 pt, alinhados à esquerda. Deve haver um espaço adicional de 12 pt antes de cada título. O primeiro parágrafo de cada seção não deve ter recuo; as primeiras linhas dos parágrafos seguintes devem ter recuo de 1,27 cm. </w:t>
      </w:r>
    </w:p>
    <w:p>
      <w:pPr>
        <w:pStyle w:val="SBC-heading2"/>
        <w:rPr/>
      </w:pPr>
      <w:r>
        <w:rPr/>
        <w:t>1.4.1. Subseções</w:t>
      </w:r>
    </w:p>
    <w:p>
      <w:pPr>
        <w:pStyle w:val="Normal"/>
        <w:rPr/>
      </w:pPr>
      <w:r>
        <w:rPr/>
        <w:t>Os títulos das subseções devem estar em negrito, tamanho 12 pt, alinhados à esquerda.</w:t>
      </w:r>
    </w:p>
    <w:p>
      <w:pPr>
        <w:pStyle w:val="Heading1"/>
        <w:ind w:hanging="0" w:left="0"/>
        <w:rPr/>
      </w:pPr>
      <w:r>
        <w:rPr/>
        <w:t>1.5. Figuras e Legendas</w:t>
      </w:r>
    </w:p>
    <w:p>
      <w:pPr>
        <w:pStyle w:val="Normal"/>
        <w:rPr/>
      </w:pPr>
      <w:r>
        <w:rPr/>
        <w:t xml:space="preserve">As legendas de figuras e tabelas devem ser centralizadas quando ocuparem menos de uma linha (Figura 1.1); caso contrário, devem ser justificadas e ter recuo de 0,8 cm em ambas as margens, conforme mostrado na Figura 1.2. A fonte deve ser Helvetica, tamanho 10 pontos, em negrito, com espaçamento de 6 pontos antes e depois de cada legenda. </w:t>
      </w:r>
    </w:p>
    <w:p>
      <w:pPr>
        <w:pStyle w:val="SBC-figure"/>
        <w:rPr/>
      </w:pPr>
      <w:r>
        <w:rPr/>
        <w:drawing>
          <wp:inline distT="0" distB="0" distL="0" distR="0">
            <wp:extent cx="3187065" cy="290449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12" r="-11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65" cy="290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BC-caption"/>
        <w:rPr/>
      </w:pPr>
      <w:r>
        <w:rPr/>
        <w:t>Figura 1.1. Uma figura típica</w:t>
      </w:r>
      <w:r>
        <w:rPr/>
      </w:r>
      <w:r>
        <w:rPr/>
      </w:r>
      <w:r>
        <w:rPr/>
      </w:r>
      <w:r>
        <w:rPr/>
      </w:r>
      <w:r>
        <w:rPr/>
      </w:r>
      <w:r>
        <w:rPr/>
      </w:r>
    </w:p>
    <w:p>
      <w:pPr>
        <w:pStyle w:val="Normal"/>
        <w:rPr/>
      </w:pPr>
      <w:r>
        <w:rPr/>
        <w:tab/>
        <w:t>Nas tabelas, não use fundos coloridos ou sombreados e evite linhas de contorno grossas, duplas ou desnecessárias. Ao apresentar dados empíricos, não use mais casas decimais do que o justificado pela precisão e reprodutibilidade dos dados. A legenda da tabela deve ser colocada antes da tabela (veja a Tabela 1.1), e a fonte utilizada também deve ser Helvetica, tamanho 10 pontos, em negrito, com espaçamento de 6 pontos antes e depois de cada legenda.</w:t>
      </w:r>
    </w:p>
    <w:p>
      <w:pPr>
        <w:pStyle w:val="Normal"/>
        <w:ind w:hanging="720" w:left="720" w:right="0"/>
        <w:rPr/>
      </w:pPr>
      <w:r>
        <w:rPr/>
        <w:tab/>
        <w:t>As referências a figuras e tabelas devem ser compostas pelo número do capítulo e por um número sequencial iniciado em um (veja os exemplos da Figura 1.1, da Figura 1.2 e da Tabela 1.1).</w:t>
      </w:r>
    </w:p>
    <w:p>
      <w:pPr>
        <w:pStyle w:val="SBC-figure"/>
        <w:rPr>
          <w:lang w:val="en-US" w:eastAsia="pt-BR"/>
        </w:rPr>
      </w:pPr>
      <w:r>
        <w:rPr>
          <w:lang w:val="en-US" w:eastAsia="pt-BR"/>
        </w:rPr>
        <w:drawing>
          <wp:inline distT="0" distB="0" distL="0" distR="0">
            <wp:extent cx="2877820" cy="323723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3" t="-11" r="-13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BC-caption"/>
        <w:jc w:val="both"/>
        <w:rPr/>
      </w:pPr>
      <w:r>
        <w:rPr/>
        <w:t>Figura 1.2. Esta figura é um exemplo de legenda que ocupa mais de uma linha e está justificada considerando as margens mencionadas na Seção 1.4.</w:t>
      </w:r>
    </w:p>
    <w:p>
      <w:pPr>
        <w:pStyle w:val="SBC-heading1"/>
        <w:rPr/>
      </w:pPr>
      <w:r>
        <w:rPr/>
        <w:t>1.6. Imagens</w:t>
      </w:r>
    </w:p>
    <w:p>
      <w:pPr>
        <w:pStyle w:val="Normal"/>
        <w:rPr/>
      </w:pPr>
      <w:r>
        <w:rPr/>
        <w:t>Todas as imagens e ilustrações devem estar em preto e branco ou em tons de cinza. A resolução das imagens no documento impresso deve ser de aproximadamente 600 dpi para imagens em preto e branco e de 150 a 200 dpi para imagens em tons de cinza. Não inclua imagens com resolução excessiva, pois elas podem levar horas para serem impressas, sem produzir qualquer diferença visível no resultado.</w:t>
      </w:r>
    </w:p>
    <w:p>
      <w:pPr>
        <w:pStyle w:val="SBC-caption"/>
        <w:tabs>
          <w:tab w:val="clear" w:pos="720"/>
        </w:tabs>
        <w:jc w:val="both"/>
        <w:rPr/>
      </w:pPr>
      <w:r>
        <w:rPr>
          <w:lang w:val="pt-BR"/>
        </w:rPr>
        <w:t>Tabela 1.1. Variáveis a serem consideradas na avaliação de técnicas de interação.</w:t>
      </w:r>
      <w:r>
        <w:rPr/>
      </w:r>
    </w:p>
    <w:tbl>
      <w:tblPr>
        <w:tblW w:w="860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20"/>
        <w:gridCol w:w="3664"/>
        <w:gridCol w:w="2616"/>
      </w:tblGrid>
      <w:tr>
        <w:trPr/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Tarefa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Variável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Métrica utilizada</w:t>
            </w:r>
          </w:p>
        </w:tc>
      </w:tr>
      <w:tr>
        <w:trPr>
          <w:cantSplit w:val="true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6"/>
              <w:spacing w:before="0" w:after="0"/>
              <w:ind w:hanging="0" w:left="0"/>
              <w:rPr>
                <w:b w:val="false"/>
                <w:sz w:val="20"/>
                <w:szCs w:val="20"/>
                <w:lang w:val="pt-BR"/>
              </w:rPr>
            </w:pPr>
            <w:r>
              <w:rPr>
                <w:b w:val="false"/>
                <w:sz w:val="20"/>
                <w:szCs w:val="20"/>
                <w:lang w:val="pt-BR"/>
              </w:rPr>
              <w:t>Seleção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Distância do alvo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Cúbitos virtuais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Direção horizontal e vertical do alvo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Distância do objeto oculto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Cúbitos virtuais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Direção da oclusão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Esquerda/direita/cima/baixo</w:t>
            </w:r>
          </w:p>
        </w:tc>
      </w:tr>
      <w:tr>
        <w:trPr>
          <w:cantSplit w:val="true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5"/>
              <w:spacing w:before="0" w:after="0"/>
              <w:ind w:hanging="0" w:left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Posicionamento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Distância inicial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Cúbitos virtuais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Direções iniciais horizontal e vertical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Distância final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Cúbitos virtuais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Direções finais horizontal e vertical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Precisão vertical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Porcentagem de sobreposição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Precisão horizontal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Porcentagem de sobreposição</w:t>
            </w:r>
          </w:p>
        </w:tc>
      </w:tr>
      <w:tr>
        <w:trPr>
          <w:cantSplit w:val="true"/>
        </w:trPr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5"/>
              <w:spacing w:before="0" w:after="0"/>
              <w:ind w:hanging="0" w:left="0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Orientação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Distância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Cúbitos virtuais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Direções horizontal e vertical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Orientação inicial (3 ângulos)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Orientação final (3 ângulos)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  <w:tr>
        <w:trPr>
          <w:cantSplit w:val="true"/>
        </w:trPr>
        <w:tc>
          <w:tcPr>
            <w:tcW w:w="23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Exatidão/precisão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sz w:val="20"/>
              </w:rPr>
            </w:pPr>
            <w:r>
              <w:rPr>
                <w:sz w:val="20"/>
              </w:rPr>
              <w:t>Graus do arco</w:t>
            </w:r>
          </w:p>
        </w:tc>
      </w:tr>
    </w:tbl>
    <w:p>
      <w:pPr>
        <w:pStyle w:val="SBC-heading1"/>
        <w:rPr/>
      </w:pPr>
      <w:r>
        <w:rPr/>
        <w:t>1.7. Referências</w:t>
      </w:r>
    </w:p>
    <w:p>
      <w:pPr>
        <w:pStyle w:val="Normal"/>
        <w:rPr/>
      </w:pPr>
      <w:r>
        <w:rPr/>
        <w:t>As referências bibliográficas devem ser inequívocas e uniformes. Recomendamos citar os autores entre colchetes, por exemplo, [Knuth 1984], [Kernighan and Ritchie 1990]; ou indicar as datas entre parênteses, por exemplo, Knuth (1984), Sederberg and Zundel (1989,1990).</w:t>
      </w:r>
    </w:p>
    <w:p>
      <w:pPr>
        <w:pStyle w:val="SBC-heading1"/>
        <w:rPr/>
      </w:pPr>
      <w:r>
        <w:rPr/>
        <w:t>Referências</w:t>
      </w:r>
    </w:p>
    <w:p>
      <w:pPr>
        <w:pStyle w:val="SBC-reference"/>
        <w:rPr/>
      </w:pPr>
      <w:r>
        <w:rPr/>
        <w:t>Boulic, R. and Renault, O. (1991) “3D Hierarchies for Animation”, In: New Trends in Animation and Visualization, Edited by Nadia Magnenat-Thalmann and Daniel Thalmann, John Wiley &amp; Sons ltd., England.</w:t>
      </w:r>
    </w:p>
    <w:p>
      <w:pPr>
        <w:pStyle w:val="SBC-reference"/>
        <w:rPr/>
      </w:pPr>
      <w:r>
        <w:rPr/>
        <w:t xml:space="preserve">Dyer, S., Martin, J. and Zulauf, J. (1995) “Motion Capture White Paper”, </w:t>
      </w:r>
      <w:hyperlink r:id="rId4">
        <w:r>
          <w:rPr>
            <w:rStyle w:val="Hyperlink"/>
          </w:rPr>
          <w:t>http://reality.sgi.com/employees/jam_sb/mocap/MoCapWP_v2.0.html</w:t>
        </w:r>
      </w:hyperlink>
      <w:r>
        <w:rPr/>
        <w:t>, December.</w:t>
      </w:r>
    </w:p>
    <w:p>
      <w:pPr>
        <w:pStyle w:val="SBC-reference"/>
        <w:rPr/>
      </w:pPr>
      <w:r>
        <w:rPr/>
        <w:t>Holton, M. and Alexander, S. (1995) “Soft Cellular Modeling: A Technique for the Simulation of Non-rigid Materials”, Computer Graphics: Developments in Virtual Environments, R. A. Earnshaw and J. A. Vince, England, Academic Press Ltd., p. 449-460.</w:t>
      </w:r>
    </w:p>
    <w:p>
      <w:pPr>
        <w:pStyle w:val="SBC-reference"/>
        <w:rPr/>
      </w:pPr>
      <w:r>
        <w:rPr/>
        <w:t xml:space="preserve">Knuth, D. E., The TeXbook, Addison Wesley, 1984. </w:t>
      </w:r>
    </w:p>
    <w:sectPr>
      <w:headerReference w:type="default" r:id="rId5"/>
      <w:type w:val="nextPage"/>
      <w:pgSz w:w="11906" w:h="16838"/>
      <w:pgMar w:left="1701" w:right="1701" w:gutter="0" w:header="964" w:top="1985" w:footer="0" w:bottom="1418"/>
      <w:pgNumType w:start="10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Helvetica">
    <w:altName w:val="Arial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modern"/>
    <w:pitch w:val="default"/>
  </w:font>
  <w:font w:name="Tahoma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left" w:pos="720" w:leader="none"/>
        <w:tab w:val="right" w:pos="9356" w:leader="none"/>
      </w:tabs>
      <w:spacing w:before="120" w:after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4605" cy="259080"/>
              <wp:effectExtent l="0" t="0" r="0" b="0"/>
              <wp:wrapSquare wrapText="bothSides"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25908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widowControl/>
                            <w:bidi w:val="0"/>
                            <w:spacing w:before="120" w:after="0"/>
                            <w:jc w:val="both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20.4pt;mso-wrap-distance-left:0pt;mso-wrap-distance-right:0pt;mso-wrap-distance-top:0pt;mso-wrap-distance-bottom:0pt;margin-top:0.05pt;mso-position-vertical-relative:text;margin-left:424.05pt;mso-position-horizontal:inside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widowControl/>
                      <w:bidi w:val="0"/>
                      <w:spacing w:before="120" w:after="0"/>
                      <w:jc w:val="both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mirrorMargins/>
  <w:defaultTabStop w:val="709"/>
  <w:autoHyphenation w:val="true"/>
  <w:hyphenationZone w:val="0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tabs>
        <w:tab w:val="clear" w:pos="709"/>
        <w:tab w:val="left" w:pos="720" w:leader="none"/>
      </w:tabs>
      <w:bidi w:val="0"/>
      <w:spacing w:before="120" w:after="0"/>
      <w:jc w:val="both"/>
    </w:pPr>
    <w:rPr>
      <w:rFonts w:ascii="Times" w:hAnsi="Times" w:eastAsia="Times New Roman" w:cs="Times"/>
      <w:color w:val="auto"/>
      <w:sz w:val="24"/>
      <w:szCs w:val="20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240" w:after="0"/>
      <w:jc w:val="left"/>
      <w:outlineLvl w:val="0"/>
    </w:pPr>
    <w:rPr>
      <w:b/>
      <w:kern w:val="2"/>
      <w:sz w:val="26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40" w:before="240" w:after="0"/>
      <w:jc w:val="lef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240" w:before="240" w:after="0"/>
      <w:outlineLvl w:val="2"/>
    </w:pPr>
    <w:rPr>
      <w:rFonts w:ascii="Helvetica" w:hAnsi="Helvetica" w:cs="Helvetica"/>
      <w:b/>
      <w:sz w:val="24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240" w:after="0"/>
      <w:outlineLvl w:val="3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lineRule="auto" w:line="240" w:before="240" w:after="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Fontepargpadro">
    <w:name w:val="Fonte parág. padrão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BC-title">
    <w:name w:val="SBC-title"/>
    <w:basedOn w:val="Normal"/>
    <w:qFormat/>
    <w:pPr>
      <w:spacing w:before="240" w:after="0"/>
      <w:ind w:firstLine="397" w:left="0" w:right="0"/>
      <w:jc w:val="center"/>
    </w:pPr>
    <w:rPr>
      <w:b/>
      <w:sz w:val="32"/>
    </w:rPr>
  </w:style>
  <w:style w:type="paragraph" w:styleId="SBC-author">
    <w:name w:val="SBC-author"/>
    <w:basedOn w:val="Normal"/>
    <w:qFormat/>
    <w:pPr>
      <w:spacing w:before="240" w:after="0"/>
      <w:jc w:val="center"/>
    </w:pPr>
    <w:rPr>
      <w:b/>
    </w:rPr>
  </w:style>
  <w:style w:type="paragraph" w:styleId="SBC-address">
    <w:name w:val="SBC-address"/>
    <w:basedOn w:val="Normal"/>
    <w:qFormat/>
    <w:pPr>
      <w:spacing w:before="240" w:after="0"/>
      <w:jc w:val="center"/>
    </w:pPr>
    <w:rPr>
      <w:lang w:val="pt-BR"/>
    </w:rPr>
  </w:style>
  <w:style w:type="paragraph" w:styleId="SBC-email">
    <w:name w:val="SBC-email"/>
    <w:basedOn w:val="Normal"/>
    <w:qFormat/>
    <w:pPr>
      <w:spacing w:before="120" w:after="120"/>
      <w:jc w:val="center"/>
    </w:pPr>
    <w:rPr>
      <w:rFonts w:ascii="Courier New" w:hAnsi="Courier New" w:cs="Courier New"/>
      <w:sz w:val="20"/>
      <w:lang w:val="pt-BR"/>
    </w:rPr>
  </w:style>
  <w:style w:type="paragraph" w:styleId="SBC-abstract">
    <w:name w:val="SBC-abstract"/>
    <w:basedOn w:val="Normal"/>
    <w:qFormat/>
    <w:pPr>
      <w:spacing w:before="120" w:after="120"/>
      <w:ind w:hanging="0" w:left="454" w:right="454"/>
    </w:pPr>
    <w:rPr>
      <w:i/>
    </w:rPr>
  </w:style>
  <w:style w:type="paragraph" w:styleId="SBC-heading1">
    <w:name w:val="SBC-heading1"/>
    <w:basedOn w:val="Heading1"/>
    <w:qFormat/>
    <w:pPr>
      <w:numPr>
        <w:ilvl w:val="0"/>
        <w:numId w:val="0"/>
      </w:numPr>
      <w:outlineLvl w:val="9"/>
    </w:pPr>
    <w:rPr/>
  </w:style>
  <w:style w:type="paragraph" w:styleId="SBC-heading2">
    <w:name w:val="SBC-heading2"/>
    <w:basedOn w:val="Heading2"/>
    <w:qFormat/>
    <w:pPr>
      <w:numPr>
        <w:ilvl w:val="0"/>
        <w:numId w:val="0"/>
      </w:numPr>
      <w:outlineLvl w:val="9"/>
    </w:pPr>
    <w:rPr/>
  </w:style>
  <w:style w:type="paragraph" w:styleId="SBC-figure">
    <w:name w:val="SBC-figure"/>
    <w:basedOn w:val="Normal"/>
    <w:qFormat/>
    <w:pPr>
      <w:jc w:val="center"/>
    </w:pPr>
    <w:rPr>
      <w:lang w:val="en-US" w:eastAsia="en-US"/>
    </w:rPr>
  </w:style>
  <w:style w:type="paragraph" w:styleId="SBC-caption">
    <w:name w:val="SBC-caption"/>
    <w:basedOn w:val="Normal"/>
    <w:qFormat/>
    <w:pPr>
      <w:spacing w:before="120" w:after="120"/>
      <w:ind w:hanging="0" w:left="454" w:right="454"/>
      <w:jc w:val="center"/>
    </w:pPr>
    <w:rPr>
      <w:rFonts w:ascii="Helvetica" w:hAnsi="Helvetica" w:cs="Helvetica"/>
      <w:b/>
      <w:sz w:val="20"/>
    </w:rPr>
  </w:style>
  <w:style w:type="paragraph" w:styleId="SBC-reference">
    <w:name w:val="SBC-reference"/>
    <w:basedOn w:val="Normal"/>
    <w:qFormat/>
    <w:pPr>
      <w:ind w:hanging="284" w:left="284" w:right="0"/>
    </w:pPr>
    <w:rPr/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://reality.sgi.com/employees/jam_sb/mocap/MoCapWP_v2.0.html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sbc-book-template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2005-03-22T16:02:00Z</dcterms:created>
  <dc:creator>sirlei</dc:creator>
  <dc:description/>
  <dc:language>en-US</dc:language>
  <cp:lastModifiedBy>sirlei</cp:lastModifiedBy>
  <cp:lastPrinted>2002-05-23T14:51:00Z</cp:lastPrinted>
  <dcterms:modified xsi:type="dcterms:W3CDTF">2005-03-22T16:04:00Z</dcterms:modified>
  <cp:revision>1</cp:revision>
  <dc:subject/>
  <dc:title>Instruções aos Autores de Contribuições para o SIBGRAPI</dc:title>
</cp:coreProperties>
</file>